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Kiko Pérez </w:t>
      </w:r>
      <w:r w:rsidDel="00000000" w:rsidR="00000000" w:rsidRPr="00000000">
        <w:rPr>
          <w:rtl w:val="0"/>
        </w:rPr>
        <w:br w:type="textWrapping"/>
        <w:t xml:space="preserve">Vigo,1982) vive y trabaja en Madrid.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 sido artista residente en El Granero (CHARCO Project), León de Guanajuato, México (2019); El Ranchito, Matadero Madrid, España-Finlandia (2014); Rogaland Art Centre, Stavanger, Noruega (2009) y BilbaoArte, Fundación BilbaoArte, Bilbao (2009).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 realizado exposiciones individuales tales como: ‘German Haircut’, Fundación Luis Seoane, A Coruña (2017); ‘Misterio’ (2018); ‘Makulatur’ (2015); y ‘Hola-Por Favor-Gracias-Hasta luego’ (2011), en la Galería Heinrich Ehrhardt, Madrid, en otras galerías como Carreras Múgica, Bilbao (2016) o Tatjana Pieters, Gante (2014) y en  La Casa Encendida, Madrid ‘Lo nuestro: from me to you’,(2012).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Sus obras han sido expuestas también en diferentes exposiciones colectivas tales como: ‘Dialecto CA2M’, Centro de Arte 2 de Mayo, Madrid (2021); ‘Una historia del arte reciente 1960-2020’, un proyecto de la Fundación Juan March y DKV, en Museo Juan March de Palma de Mallorca (2022); ‘Cultivar incertezas: Reformular o espazo/ conmocionar a mirada’, CGAC, Centro Galego de Arte Contemporánea, Santiago de Compostela (2021); ‘Querer parecer noche’ CA2M , Centro de Arte Dos de Mayo, Madrid (2018); ‘En construcción’ CGAC ,Centro Galego de Arte Contemporánea, Santiago de Compostela (2018); ‘Veraneantes’, MARCO, Vigo(2014); ‘Visible, móvil, vidente’, Centro Párraga, Murcia (2014); ‘El boceto del mundo’, MARCO, Vigo (2014); ‘(The) Everyday’, Galería PM8, Vigo (2014); ‘Cohetes’,Torre de Ariz, Basauri (2011) o ‘Antes que todo/Before Everything’ , CA2M, Madrid (2010).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Su trabajo forma parte de las siguientes colecciones: CA2M; CGAC; DKV Seguros; Miettinen Collection; Fundación Barrié de la Maza; Colección Lázaro; Peters-Messer Collection y FIN ART Collection.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https://ehrhardtflorez.com/es/artistas/kiko-perez/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hrhardtflorez.com/es/artistas/kiko-per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